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ind/>
        <w:jc w:val="center"/>
        <w:rPr>
          <w:b w:val="1"/>
          <w:color w:themeColor="text1" w:val="000000"/>
        </w:rPr>
      </w:pPr>
    </w:p>
    <w:p w14:paraId="08000000">
      <w:pPr>
        <w:widowControl w:val="1"/>
        <w:ind/>
        <w:contextualSpacing w:val="1"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>Что делать, если день</w:t>
      </w:r>
      <w:r>
        <w:rPr>
          <w:b w:val="1"/>
          <w:color w:themeColor="text1" w:val="000000"/>
        </w:rPr>
        <w:t xml:space="preserve">ги переведены мошенникам: </w:t>
      </w:r>
      <w:r>
        <w:rPr>
          <w:b w:val="1"/>
          <w:color w:themeColor="text1" w:val="000000"/>
        </w:rPr>
        <w:t>гарантии</w:t>
      </w:r>
      <w:r>
        <w:rPr>
          <w:b w:val="1"/>
          <w:color w:themeColor="text1" w:val="000000"/>
        </w:rPr>
        <w:t xml:space="preserve"> для </w:t>
      </w:r>
      <w:r>
        <w:rPr>
          <w:b w:val="1"/>
          <w:color w:themeColor="text1" w:val="000000"/>
        </w:rPr>
        <w:t>граждан</w:t>
      </w:r>
    </w:p>
    <w:p w14:paraId="09000000">
      <w:pPr>
        <w:widowControl w:val="1"/>
        <w:ind/>
        <w:contextualSpacing w:val="1"/>
        <w:jc w:val="both"/>
        <w:rPr>
          <w:b w:val="1"/>
          <w:color w:themeColor="text1" w:val="000000"/>
        </w:rPr>
      </w:pPr>
    </w:p>
    <w:p w14:paraId="0A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Законодательством Российской Федерации последовательно совершенствуются меры защиты граждан от хищения денежных средств, совершенного с использованием информационно-</w:t>
      </w:r>
      <w:r>
        <w:rPr>
          <w:color w:themeColor="text1" w:val="000000"/>
        </w:rPr>
        <w:t>теле</w:t>
      </w:r>
      <w:r>
        <w:rPr>
          <w:color w:themeColor="text1" w:val="000000"/>
        </w:rPr>
        <w:t>коммуникационных технологий.</w:t>
      </w:r>
    </w:p>
    <w:p w14:paraId="0B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Федеральным законом от 26.06.2026 № 210-ФЗ</w:t>
      </w:r>
      <w:r>
        <w:rPr>
          <w:color w:themeColor="text1" w:val="000000"/>
        </w:rPr>
        <w:t xml:space="preserve"> «Об организации предоставления государственных и муниципальных услуг</w:t>
      </w:r>
      <w:r>
        <w:rPr>
          <w:color w:themeColor="text1" w:val="000000"/>
        </w:rPr>
        <w:t>»</w:t>
      </w:r>
      <w:r>
        <w:rPr>
          <w:color w:themeColor="text1" w:val="000000"/>
        </w:rPr>
        <w:t xml:space="preserve"> внесены изменения в законодательство, направленные на совершенствование противодействия преступлениям, совершаемым с использова</w:t>
      </w:r>
      <w:r>
        <w:rPr>
          <w:color w:themeColor="text1" w:val="000000"/>
        </w:rPr>
        <w:t>нием информационных технологий.</w:t>
      </w:r>
    </w:p>
    <w:p w14:paraId="0C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В частности, предусмотрены дополнительные механизмы взаимодействия операторов связи и кредитных организаций при совершении переводов денежных средств без доб</w:t>
      </w:r>
      <w:r>
        <w:rPr>
          <w:color w:themeColor="text1" w:val="000000"/>
        </w:rPr>
        <w:t>ровольного согласия гражданина.</w:t>
      </w:r>
    </w:p>
    <w:p w14:paraId="0D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Под переводом денежных средств без добровольного согласия </w:t>
      </w:r>
      <w:r>
        <w:rPr>
          <w:color w:themeColor="text1" w:val="000000"/>
        </w:rPr>
        <w:t>понимается</w:t>
      </w:r>
      <w:r>
        <w:rPr>
          <w:color w:themeColor="text1" w:val="000000"/>
        </w:rPr>
        <w:t xml:space="preserve"> в том числе операция, совершенная без согласия клиента либо с его согласия, полученного под влиянием обман</w:t>
      </w:r>
      <w:r>
        <w:rPr>
          <w:color w:themeColor="text1" w:val="000000"/>
        </w:rPr>
        <w:t>а или злоупотребления доверием.</w:t>
      </w:r>
    </w:p>
    <w:p w14:paraId="0E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При обнар</w:t>
      </w:r>
      <w:r>
        <w:rPr>
          <w:color w:themeColor="text1" w:val="000000"/>
        </w:rPr>
        <w:t>ужении хищения денежных сре</w:t>
      </w:r>
      <w:r>
        <w:rPr>
          <w:color w:themeColor="text1" w:val="000000"/>
        </w:rPr>
        <w:t xml:space="preserve">дств </w:t>
      </w:r>
      <w:r>
        <w:rPr>
          <w:color w:themeColor="text1" w:val="000000"/>
        </w:rPr>
        <w:t>гр</w:t>
      </w:r>
      <w:r>
        <w:rPr>
          <w:color w:themeColor="text1" w:val="000000"/>
        </w:rPr>
        <w:t xml:space="preserve">ажданину необходимо незамедлительно обратиться в обслуживающую кредитную организацию, сообщить о совершенной операции и направить предусмотренное законом заявление о несогласии с операцией. Одновременно следует обратиться в органы внутренних дел с заявлением о </w:t>
      </w:r>
      <w:r>
        <w:rPr>
          <w:color w:themeColor="text1" w:val="000000"/>
        </w:rPr>
        <w:t>преступлении.</w:t>
      </w:r>
    </w:p>
    <w:p w14:paraId="0F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Федеральным законом № 210-ФЗ предусмотрено, что в установленных законом случаях оператор по переводу денежных средств либо оператор связи обязан возместить гражданину сумму перевода, совершенного без его добровольного согласия. При этом законодательством устан</w:t>
      </w:r>
      <w:r>
        <w:rPr>
          <w:color w:themeColor="text1" w:val="000000"/>
        </w:rPr>
        <w:t>овлен ряд обязательных условий.</w:t>
      </w:r>
    </w:p>
    <w:p w14:paraId="10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Так, для реализации соответствующего механизма гражданин должен своевременно обратиться в банк. Кроме того, законом предусмотрено наличие постановления о возбуждении уголовного дела по факту хищения денежных средств, а также соблюдение иных установленных законом требований. Для соответствующего механизма возмещения оператором связи предусмотрен срок обращения гражданина к оператору по переводу денежных средств — не позднее 10 рабочих дней, следующих за днем совершения операции ли</w:t>
      </w:r>
      <w:r>
        <w:rPr>
          <w:color w:themeColor="text1" w:val="000000"/>
        </w:rPr>
        <w:t>бо получения уведомления о ней.</w:t>
      </w:r>
    </w:p>
    <w:p w14:paraId="11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Указанные положения вступ</w:t>
      </w:r>
      <w:r>
        <w:rPr>
          <w:color w:themeColor="text1" w:val="000000"/>
        </w:rPr>
        <w:t>ают в силу с 1 марта 2027 года.</w:t>
      </w:r>
    </w:p>
    <w:p w14:paraId="12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До и после вступления указанных положений в силу при хищении денежных сре</w:t>
      </w:r>
      <w:r>
        <w:rPr>
          <w:color w:themeColor="text1" w:val="000000"/>
        </w:rPr>
        <w:t>дств гр</w:t>
      </w:r>
      <w:r>
        <w:rPr>
          <w:color w:themeColor="text1" w:val="000000"/>
        </w:rPr>
        <w:t>ажданам необходимо действовать незамедлительно: связаться с банком, зафиксировать факт незаконной операции и обратиться в правоохранительные органы.</w:t>
      </w:r>
    </w:p>
    <w:p w14:paraId="13000000">
      <w:pPr>
        <w:widowControl w:val="1"/>
        <w:ind w:firstLine="709"/>
        <w:contextualSpacing w:val="1"/>
        <w:jc w:val="both"/>
        <w:rPr>
          <w:color w:themeColor="text1" w:val="000000"/>
        </w:rPr>
      </w:pPr>
      <w:bookmarkStart w:id="1" w:name="_GoBack"/>
      <w:bookmarkEnd w:id="1"/>
      <w:r>
        <w:rPr>
          <w:color w:themeColor="text1" w:val="000000"/>
        </w:rPr>
        <w:t>Своевременное обращение в кредитную организацию и органы внутренних дел имеет существенное значение для защиты нарушенных прав и принятия мер к установлению лиц, причастных к совершению преступления.</w:t>
      </w:r>
    </w:p>
    <w:p w14:paraId="14000000">
      <w:pPr>
        <w:widowControl w:val="1"/>
        <w:ind/>
        <w:contextualSpacing w:val="1"/>
        <w:jc w:val="both"/>
        <w:rPr>
          <w:b w:val="1"/>
          <w:color w:themeColor="text1" w:val="000000"/>
        </w:rPr>
      </w:pPr>
    </w:p>
    <w:p w14:paraId="15000000">
      <w:pPr>
        <w:widowControl w:val="1"/>
        <w:ind/>
        <w:contextualSpacing w:val="1"/>
        <w:jc w:val="both"/>
        <w:rPr>
          <w:color w:themeColor="text1" w:val="000000"/>
        </w:rPr>
      </w:pPr>
    </w:p>
    <w:p w14:paraId="16000000">
      <w:pPr>
        <w:widowControl w:val="1"/>
        <w:ind/>
        <w:jc w:val="both"/>
      </w:pPr>
      <w:r>
        <w:t xml:space="preserve">Пресс-служба </w:t>
      </w:r>
    </w:p>
    <w:p w14:paraId="17000000">
      <w:pPr>
        <w:widowControl w:val="1"/>
        <w:ind/>
        <w:jc w:val="both"/>
      </w:pPr>
      <w:r>
        <w:t>Прокуратуры г. Нижневартовска</w:t>
      </w:r>
    </w:p>
    <w:p w14:paraId="18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9000000">
      <w:pPr>
        <w:widowControl w:val="1"/>
        <w:spacing w:line="240" w:lineRule="exact"/>
        <w:ind/>
        <w:jc w:val="both"/>
        <w:rPr>
          <w:b w:val="1"/>
        </w:rPr>
      </w:pPr>
    </w:p>
    <w:p w14:paraId="1A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B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C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</w:p>
    <w:p w14:paraId="25000000">
      <w:pPr>
        <w:rPr>
          <w:sz w:val="20"/>
        </w:rPr>
      </w:pPr>
    </w:p>
    <w:p w14:paraId="26000000">
      <w:pPr>
        <w:rPr>
          <w:sz w:val="20"/>
        </w:rPr>
      </w:pPr>
    </w:p>
    <w:p w14:paraId="27000000">
      <w:pPr>
        <w:rPr>
          <w:sz w:val="20"/>
        </w:rPr>
      </w:pPr>
    </w:p>
    <w:p w14:paraId="28000000">
      <w:pPr>
        <w:rPr>
          <w:sz w:val="20"/>
        </w:rPr>
      </w:pPr>
    </w:p>
    <w:p w14:paraId="29000000">
      <w:pPr>
        <w:rPr>
          <w:sz w:val="20"/>
        </w:rPr>
      </w:pPr>
    </w:p>
    <w:p w14:paraId="2A000000">
      <w:pPr>
        <w:rPr>
          <w:sz w:val="20"/>
        </w:rPr>
      </w:pPr>
    </w:p>
    <w:p w14:paraId="2B000000">
      <w:pPr>
        <w:rPr>
          <w:sz w:val="20"/>
        </w:rPr>
      </w:pPr>
    </w:p>
    <w:p w14:paraId="2C000000">
      <w:pPr>
        <w:rPr>
          <w:sz w:val="20"/>
        </w:rPr>
      </w:pPr>
    </w:p>
    <w:p w14:paraId="2D000000">
      <w:pPr>
        <w:rPr>
          <w:sz w:val="20"/>
        </w:rPr>
      </w:pPr>
    </w:p>
    <w:p w14:paraId="2E000000">
      <w:pPr>
        <w:rPr>
          <w:sz w:val="20"/>
        </w:rPr>
      </w:pPr>
    </w:p>
    <w:p w14:paraId="2F000000">
      <w:pPr>
        <w:rPr>
          <w:sz w:val="20"/>
        </w:rPr>
      </w:pPr>
    </w:p>
    <w:p w14:paraId="30000000">
      <w:pPr>
        <w:rPr>
          <w:sz w:val="20"/>
        </w:rPr>
      </w:pPr>
    </w:p>
    <w:p w14:paraId="31000000">
      <w:pPr>
        <w:rPr>
          <w:sz w:val="20"/>
        </w:rPr>
      </w:pPr>
    </w:p>
    <w:p w14:paraId="32000000">
      <w:pPr>
        <w:rPr>
          <w:sz w:val="20"/>
        </w:rPr>
      </w:pPr>
    </w:p>
    <w:p w14:paraId="33000000">
      <w:pPr>
        <w:rPr>
          <w:sz w:val="20"/>
        </w:rPr>
      </w:pPr>
    </w:p>
    <w:p w14:paraId="34000000">
      <w:pPr>
        <w:rPr>
          <w:sz w:val="20"/>
        </w:rPr>
      </w:pPr>
    </w:p>
    <w:p w14:paraId="35000000">
      <w:pPr>
        <w:rPr>
          <w:sz w:val="20"/>
        </w:rPr>
      </w:pPr>
    </w:p>
    <w:p w14:paraId="36000000">
      <w:pPr>
        <w:rPr>
          <w:sz w:val="20"/>
        </w:rPr>
      </w:pPr>
    </w:p>
    <w:p w14:paraId="37000000">
      <w:pPr>
        <w:rPr>
          <w:sz w:val="20"/>
        </w:rPr>
      </w:pPr>
    </w:p>
    <w:p w14:paraId="38000000">
      <w:pPr>
        <w:rPr>
          <w:sz w:val="20"/>
        </w:rPr>
      </w:pPr>
    </w:p>
    <w:p w14:paraId="39000000">
      <w:pPr>
        <w:rPr>
          <w:sz w:val="20"/>
        </w:rPr>
      </w:pPr>
    </w:p>
    <w:p w14:paraId="3A000000">
      <w:pPr>
        <w:rPr>
          <w:sz w:val="20"/>
        </w:rPr>
      </w:pPr>
    </w:p>
    <w:p w14:paraId="3B000000">
      <w:pPr>
        <w:rPr>
          <w:sz w:val="20"/>
        </w:rPr>
      </w:pPr>
    </w:p>
    <w:p w14:paraId="3C000000">
      <w:pPr>
        <w:rPr>
          <w:sz w:val="20"/>
        </w:rPr>
      </w:pPr>
    </w:p>
    <w:p w14:paraId="3D000000">
      <w:pPr>
        <w:rPr>
          <w:sz w:val="20"/>
        </w:rPr>
      </w:pPr>
    </w:p>
    <w:p w14:paraId="3E000000">
      <w:pPr>
        <w:rPr>
          <w:sz w:val="20"/>
        </w:rPr>
      </w:pPr>
    </w:p>
    <w:p w14:paraId="3F000000">
      <w:pPr>
        <w:rPr>
          <w:sz w:val="20"/>
        </w:rPr>
      </w:pPr>
    </w:p>
    <w:p w14:paraId="40000000">
      <w:pPr>
        <w:rPr>
          <w:sz w:val="20"/>
        </w:rPr>
      </w:pPr>
    </w:p>
    <w:p w14:paraId="41000000">
      <w:pPr>
        <w:rPr>
          <w:sz w:val="20"/>
        </w:rPr>
      </w:pPr>
    </w:p>
    <w:p w14:paraId="42000000">
      <w:pPr>
        <w:rPr>
          <w:sz w:val="20"/>
        </w:rPr>
      </w:pPr>
    </w:p>
    <w:p w14:paraId="43000000">
      <w:pPr>
        <w:rPr>
          <w:sz w:val="20"/>
        </w:rPr>
      </w:pPr>
    </w:p>
    <w:p w14:paraId="44000000">
      <w:pPr>
        <w:rPr>
          <w:sz w:val="20"/>
        </w:rPr>
      </w:pPr>
    </w:p>
    <w:p w14:paraId="45000000">
      <w:pPr>
        <w:rPr>
          <w:sz w:val="20"/>
        </w:rPr>
      </w:pPr>
    </w:p>
    <w:p w14:paraId="46000000">
      <w:pPr>
        <w:rPr>
          <w:sz w:val="20"/>
        </w:rPr>
      </w:pPr>
    </w:p>
    <w:p w14:paraId="47000000">
      <w:pPr>
        <w:rPr>
          <w:sz w:val="20"/>
        </w:rPr>
      </w:pPr>
    </w:p>
    <w:p w14:paraId="48000000">
      <w:pPr>
        <w:rPr>
          <w:sz w:val="20"/>
        </w:rPr>
      </w:pPr>
    </w:p>
    <w:p w14:paraId="49000000">
      <w:pPr>
        <w:rPr>
          <w:sz w:val="20"/>
        </w:rPr>
      </w:pPr>
    </w:p>
    <w:p w14:paraId="4A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No Spacing"/>
    <w:link w:val="Style_5_ch"/>
    <w:rPr>
      <w:sz w:val="22"/>
    </w:rPr>
  </w:style>
  <w:style w:styleId="Style_5_ch" w:type="character">
    <w:name w:val="No Spacing"/>
    <w:link w:val="Style_5"/>
    <w:rPr>
      <w:sz w:val="22"/>
    </w:rPr>
  </w:style>
  <w:style w:styleId="Style_6" w:type="paragraph">
    <w:name w:val="Body Text 3"/>
    <w:basedOn w:val="Style_2"/>
    <w:link w:val="Style_6_ch"/>
    <w:pPr>
      <w:widowControl w:val="1"/>
      <w:spacing w:after="120"/>
      <w:ind/>
    </w:pPr>
    <w:rPr>
      <w:sz w:val="16"/>
    </w:rPr>
  </w:style>
  <w:style w:styleId="Style_6_ch" w:type="character">
    <w:name w:val="Body Text 3"/>
    <w:basedOn w:val="Style_2_ch"/>
    <w:link w:val="Style_6"/>
    <w:rPr>
      <w:sz w:val="16"/>
    </w:rPr>
  </w:style>
  <w:style w:styleId="Style_7" w:type="paragraph">
    <w:name w:val="Обычный1"/>
    <w:link w:val="Style_7_ch"/>
    <w:rPr>
      <w:rFonts w:ascii="Times New Roman" w:hAnsi="Times New Roman"/>
      <w:sz w:val="28"/>
    </w:rPr>
  </w:style>
  <w:style w:styleId="Style_7_ch" w:type="character">
    <w:name w:val="Обычный1"/>
    <w:link w:val="Style_7"/>
    <w:rPr>
      <w:rFonts w:ascii="Times New Roman" w:hAnsi="Times New Roman"/>
      <w:sz w:val="28"/>
    </w:rPr>
  </w:style>
  <w:style w:styleId="Style_8" w:type="paragraph">
    <w:name w:val="toc 6"/>
    <w:next w:val="Style_2"/>
    <w:link w:val="Style_8_ch"/>
    <w:uiPriority w:val="39"/>
    <w:pPr>
      <w:widowControl w:val="1"/>
      <w:ind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1"/>
      <w:ind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Normal (Web)"/>
    <w:basedOn w:val="Style_2"/>
    <w:link w:val="Style_10_ch"/>
    <w:pPr>
      <w:widowControl w:val="1"/>
      <w:spacing w:afterAutospacing="on" w:beforeAutospacing="on"/>
      <w:ind/>
    </w:pPr>
    <w:rPr>
      <w:sz w:val="24"/>
    </w:rPr>
  </w:style>
  <w:style w:styleId="Style_10_ch" w:type="character">
    <w:name w:val="Normal (Web)"/>
    <w:basedOn w:val="Style_2_ch"/>
    <w:link w:val="Style_10"/>
    <w:rPr>
      <w:sz w:val="24"/>
    </w:rPr>
  </w:style>
  <w:style w:styleId="Style_11" w:type="paragraph">
    <w:name w:val="Endnote"/>
    <w:link w:val="Style_11_ch"/>
    <w:pPr>
      <w:widowControl w:val="1"/>
      <w:ind w:firstLine="851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2"/>
    <w:link w:val="Style_13_ch"/>
    <w:rPr>
      <w:rFonts w:ascii="Segoe UI" w:hAnsi="Segoe UI"/>
      <w:sz w:val="18"/>
    </w:rPr>
  </w:style>
  <w:style w:styleId="Style_13_ch" w:type="character">
    <w:name w:val="Balloon Text"/>
    <w:basedOn w:val="Style_2_ch"/>
    <w:link w:val="Style_13"/>
    <w:rPr>
      <w:rFonts w:ascii="Segoe UI" w:hAnsi="Segoe UI"/>
      <w:sz w:val="18"/>
    </w:rPr>
  </w:style>
  <w:style w:styleId="Style_14" w:type="paragraph">
    <w:name w:val="feeds-page__navigation_tooltip"/>
    <w:basedOn w:val="Style_15"/>
    <w:link w:val="Style_14_ch"/>
  </w:style>
  <w:style w:styleId="Style_14_ch" w:type="character">
    <w:name w:val="feeds-page__navigation_tooltip"/>
    <w:basedOn w:val="Style_15_ch"/>
    <w:link w:val="Style_14"/>
  </w:style>
  <w:style w:styleId="Style_16" w:type="paragraph">
    <w:name w:val="toc 3"/>
    <w:next w:val="Style_2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basedOn w:val="Style_2"/>
    <w:link w:val="Style_19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9_ch" w:type="character">
    <w:name w:val="heading 1"/>
    <w:basedOn w:val="Style_2_ch"/>
    <w:link w:val="Style_19"/>
    <w:rPr>
      <w:b w:val="1"/>
      <w:sz w:val="48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List Paragraph"/>
    <w:basedOn w:val="Style_2"/>
    <w:link w:val="Style_23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23_ch" w:type="character">
    <w:name w:val="List Paragraph"/>
    <w:basedOn w:val="Style_2_ch"/>
    <w:link w:val="Style_23"/>
    <w:rPr>
      <w:rFonts w:asciiTheme="minorAscii" w:hAnsiTheme="minorHAnsi"/>
      <w:sz w:val="22"/>
    </w:rPr>
  </w:style>
  <w:style w:styleId="Style_24" w:type="paragraph">
    <w:name w:val="Header and Footer"/>
    <w:link w:val="Style_24_ch"/>
    <w:pPr>
      <w:widowControl w:val="1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1"/>
      <w:ind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Body Text Indent"/>
    <w:basedOn w:val="Style_2"/>
    <w:link w:val="Style_28_ch"/>
    <w:pPr>
      <w:widowControl w:val="1"/>
      <w:ind w:firstLine="709"/>
      <w:jc w:val="both"/>
    </w:pPr>
  </w:style>
  <w:style w:styleId="Style_28_ch" w:type="character">
    <w:name w:val="Body Text Indent"/>
    <w:basedOn w:val="Style_2_ch"/>
    <w:link w:val="Style_28"/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Основной текст2"/>
    <w:basedOn w:val="Style_2"/>
    <w:link w:val="Style_34_ch"/>
    <w:pPr>
      <w:widowControl w:val="1"/>
      <w:spacing w:line="245" w:lineRule="exact"/>
      <w:ind/>
    </w:pPr>
    <w:rPr>
      <w:rFonts w:ascii="Sylfaen" w:hAnsi="Sylfaen"/>
      <w:sz w:val="25"/>
    </w:rPr>
  </w:style>
  <w:style w:styleId="Style_34_ch" w:type="character">
    <w:name w:val="Основной текст2"/>
    <w:basedOn w:val="Style_2_ch"/>
    <w:link w:val="Style_34"/>
    <w:rPr>
      <w:rFonts w:ascii="Sylfaen" w:hAnsi="Sylfaen"/>
      <w:sz w:val="25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2026-10-29T05:38:13Z</dcterms:modified>
</cp:coreProperties>
</file>